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6A38A" w14:textId="05854242" w:rsidR="003E3BA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На основу чланова 16, 24. и 38. Покрајинске скупштинске одлуке о покрајинској управи („Службени лист АПВ“, бр. 37/14, 54/14-др. одлука, 37/16, 29/17, 24/19, 66/20, 38/2021 и 22/25), а у вези са Покрајинском скупштинском одлуком о буџету Аутономне покрајине Војводине за 2025. годину („Службени лист АПВ“, бр. 57/24</w:t>
      </w:r>
      <w:r>
        <w:rPr>
          <w:rFonts w:asciiTheme="minorHAnsi" w:hAnsiTheme="minorHAnsi" w:cstheme="minorHAnsi"/>
          <w:szCs w:val="21"/>
          <w:lang w:val="sr-Cyrl-RS"/>
        </w:rPr>
        <w:t xml:space="preserve"> и 38/25</w:t>
      </w:r>
      <w:r w:rsidR="00111381">
        <w:rPr>
          <w:rFonts w:asciiTheme="minorHAnsi" w:hAnsiTheme="minorHAnsi" w:cstheme="minorHAnsi"/>
          <w:szCs w:val="21"/>
          <w:lang w:val="sr-Cyrl-RS"/>
        </w:rPr>
        <w:t>-ребаланс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), Покрајински секретаријат за регионални развој, међурегионалну сарадњу и локалну самоуправу, дана </w:t>
      </w:r>
      <w:r>
        <w:rPr>
          <w:rFonts w:asciiTheme="minorHAnsi" w:hAnsiTheme="minorHAnsi" w:cstheme="minorHAnsi"/>
          <w:szCs w:val="21"/>
          <w:lang w:val="sr-Cyrl-RS"/>
        </w:rPr>
        <w:t>1</w:t>
      </w:r>
      <w:r w:rsidR="00111381">
        <w:rPr>
          <w:rFonts w:asciiTheme="minorHAnsi" w:hAnsiTheme="minorHAnsi" w:cstheme="minorHAnsi"/>
          <w:szCs w:val="21"/>
          <w:lang w:val="sr-Cyrl-RS"/>
        </w:rPr>
        <w:t>2</w:t>
      </w:r>
      <w:r>
        <w:rPr>
          <w:rFonts w:asciiTheme="minorHAnsi" w:hAnsiTheme="minorHAnsi" w:cstheme="minorHAnsi"/>
          <w:szCs w:val="21"/>
          <w:lang w:val="sr-Cyrl-RS"/>
        </w:rPr>
        <w:t>.09</w:t>
      </w:r>
      <w:r w:rsidRPr="00E80770">
        <w:rPr>
          <w:rFonts w:asciiTheme="minorHAnsi" w:hAnsiTheme="minorHAnsi" w:cstheme="minorHAnsi"/>
          <w:szCs w:val="21"/>
          <w:lang w:val="sr-Cyrl-RS"/>
        </w:rPr>
        <w:t>.2025.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 </w:t>
      </w:r>
      <w:r>
        <w:rPr>
          <w:rFonts w:asciiTheme="minorHAnsi" w:hAnsiTheme="minorHAnsi" w:cstheme="minorHAnsi"/>
          <w:szCs w:val="21"/>
          <w:lang w:val="sr-Cyrl-RS"/>
        </w:rPr>
        <w:t xml:space="preserve">године 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доноси: </w:t>
      </w:r>
    </w:p>
    <w:p w14:paraId="4DDC983C" w14:textId="77777777" w:rsidR="003E3BA3" w:rsidRPr="003E3BA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</w:rPr>
      </w:pPr>
    </w:p>
    <w:p w14:paraId="22C90AFF" w14:textId="2D714B6E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8"/>
          <w:lang w:val="sr-Cyrl-RS"/>
        </w:rPr>
      </w:pPr>
      <w:r w:rsidRPr="007E5653">
        <w:rPr>
          <w:rFonts w:asciiTheme="minorHAnsi" w:hAnsiTheme="minorHAnsi" w:cstheme="minorHAnsi"/>
          <w:b/>
          <w:sz w:val="24"/>
          <w:szCs w:val="28"/>
          <w:lang w:val="sr-Cyrl-RS"/>
        </w:rPr>
        <w:t>ПРАВИЛНИК О СПРОВОЂЕЊУ</w:t>
      </w:r>
      <w:r w:rsidR="00AF6906">
        <w:rPr>
          <w:rFonts w:asciiTheme="minorHAnsi" w:hAnsiTheme="minorHAnsi" w:cstheme="minorHAnsi"/>
          <w:b/>
          <w:sz w:val="24"/>
          <w:szCs w:val="28"/>
        </w:rPr>
        <w:t xml:space="preserve"> II</w:t>
      </w:r>
      <w:r w:rsidRPr="007E5653">
        <w:rPr>
          <w:rFonts w:asciiTheme="minorHAnsi" w:hAnsiTheme="minorHAnsi" w:cstheme="minorHAnsi"/>
          <w:b/>
          <w:sz w:val="24"/>
          <w:szCs w:val="28"/>
          <w:lang w:val="sr-Cyrl-RS"/>
        </w:rPr>
        <w:t xml:space="preserve"> ЈАВНОГ ПОЗИВА</w:t>
      </w:r>
    </w:p>
    <w:p w14:paraId="15B790E9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7E5653">
        <w:rPr>
          <w:rFonts w:asciiTheme="minorHAnsi" w:hAnsiTheme="minorHAnsi" w:cstheme="minorHAnsi"/>
          <w:b/>
          <w:lang w:val="sr-Cyrl-RS"/>
        </w:rPr>
        <w:t>ЈЕДИНИЦАМА ЛОКАЛНЕ САМОУПРАВЕ СА ПОДРУЧЈА АП ВОЈВОДИНЕ ЗА ПРИЈАВУ ПРОЈЕКАТА ЗА ФИНАНСИРАЊЕ ИЗРАДЕ ТЕХНИЧКЕ ДОКУМЕНТАЦИЈЕ</w:t>
      </w:r>
    </w:p>
    <w:p w14:paraId="3E3EFDEE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Покрајински секретаријат за регионални развој, међурегионалну сарадњу и локалну самоуправу (у даљем тексту: Покрајински секретаријат) у оквиру својих надлежности и Финансијског плана за 2025. годину, финансираће израду техничке документације за потребе јединица локалних самоуправа са подручја АП Војводине.</w:t>
      </w:r>
    </w:p>
    <w:p w14:paraId="11A071A6" w14:textId="21166606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 xml:space="preserve">Циљ </w:t>
      </w:r>
      <w:r w:rsidR="0059046D">
        <w:rPr>
          <w:rFonts w:asciiTheme="minorHAnsi" w:hAnsiTheme="minorHAnsi" w:cstheme="minorHAnsi"/>
        </w:rPr>
        <w:t xml:space="preserve">II </w:t>
      </w:r>
      <w:r w:rsidR="00174CE0">
        <w:rPr>
          <w:rFonts w:asciiTheme="minorHAnsi" w:hAnsiTheme="minorHAnsi" w:cstheme="minorHAnsi"/>
          <w:lang w:val="sr-Cyrl-RS"/>
        </w:rPr>
        <w:t>Јавног п</w:t>
      </w:r>
      <w:r w:rsidRPr="007E5653">
        <w:rPr>
          <w:rFonts w:asciiTheme="minorHAnsi" w:hAnsiTheme="minorHAnsi" w:cstheme="minorHAnsi"/>
          <w:lang w:val="sr-Cyrl-RS"/>
        </w:rPr>
        <w:t xml:space="preserve">озива </w:t>
      </w:r>
      <w:r w:rsidR="00174CE0">
        <w:rPr>
          <w:rFonts w:asciiTheme="minorHAnsi" w:hAnsiTheme="minorHAnsi" w:cstheme="minorHAnsi"/>
          <w:lang w:val="sr-Cyrl-RS"/>
        </w:rPr>
        <w:t xml:space="preserve">јединицама локалне самоуправе са подручја АП Војводине за пријаву пројеката за финансирање израде техничке документације (у даљем тексту: Позив) </w:t>
      </w:r>
      <w:r w:rsidRPr="007E5653">
        <w:rPr>
          <w:rFonts w:asciiTheme="minorHAnsi" w:hAnsiTheme="minorHAnsi" w:cstheme="minorHAnsi"/>
          <w:lang w:val="sr-Cyrl-RS"/>
        </w:rPr>
        <w:t>је подршка процесу реализације развојних приоритета у области локалног економског развоја и координација свих нивоа у јачању институционалног оквира за друштвено-економски развој јединица локалних самоуправа са подручја АП Војводине.</w:t>
      </w:r>
    </w:p>
    <w:p w14:paraId="5334AD25" w14:textId="27F0BCF8" w:rsidR="003E3BA3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Средства опредељена за овај Позив обезбеђена су Покрајинском скупштинском одлуком о буџету АП Војводине за 2025. годину („Службени лист АПВ“ бр. 57/24</w:t>
      </w:r>
      <w:r>
        <w:rPr>
          <w:rFonts w:asciiTheme="minorHAnsi" w:hAnsiTheme="minorHAnsi" w:cstheme="minorHAnsi"/>
          <w:lang w:val="sr-Cyrl-RS"/>
        </w:rPr>
        <w:t xml:space="preserve"> и 38/25</w:t>
      </w:r>
      <w:r w:rsidR="00111381">
        <w:rPr>
          <w:rFonts w:asciiTheme="minorHAnsi" w:hAnsiTheme="minorHAnsi" w:cstheme="minorHAnsi"/>
          <w:lang w:val="sr-Cyrl-RS"/>
        </w:rPr>
        <w:t>-ребаланс</w:t>
      </w:r>
      <w:r w:rsidRPr="007E5653">
        <w:rPr>
          <w:rFonts w:asciiTheme="minorHAnsi" w:hAnsiTheme="minorHAnsi" w:cstheme="minorHAnsi"/>
          <w:lang w:val="sr-Cyrl-RS"/>
        </w:rPr>
        <w:t>), у члану 11, Раздео 11 - Покрајински секретаријат за регионални развој, међурегионалну сарадњу и локалну самоуправу - Програм 1505 – Регионални развој - Програмска активност 1001, Стручна, финансијска и административна подршка мерама у пројектима у области регионалног развоја - Економска класификација 511 - Зграде и грађевински објекти.</w:t>
      </w:r>
    </w:p>
    <w:p w14:paraId="26E334FE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7574B1DD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ПРАВИЛА ПОЗИВА</w:t>
      </w:r>
    </w:p>
    <w:p w14:paraId="18D850F7" w14:textId="7354BA13" w:rsidR="003E3BA3" w:rsidRPr="007E5653" w:rsidRDefault="003E3BA3" w:rsidP="003E3BA3">
      <w:pPr>
        <w:tabs>
          <w:tab w:val="center" w:pos="4680"/>
        </w:tabs>
        <w:spacing w:after="0" w:line="360" w:lineRule="auto"/>
        <w:rPr>
          <w:rFonts w:asciiTheme="minorHAnsi" w:hAnsiTheme="minorHAnsi" w:cstheme="minorHAnsi"/>
          <w:b/>
          <w:szCs w:val="21"/>
          <w:lang w:val="sr-Cyrl-RS"/>
        </w:rPr>
      </w:pPr>
      <w:r>
        <w:rPr>
          <w:rFonts w:asciiTheme="minorHAnsi" w:hAnsiTheme="minorHAnsi" w:cstheme="minorHAnsi"/>
          <w:b/>
          <w:szCs w:val="21"/>
        </w:rPr>
        <w:tab/>
      </w:r>
      <w:r w:rsidRPr="007E5653">
        <w:rPr>
          <w:rFonts w:asciiTheme="minorHAnsi" w:hAnsiTheme="minorHAnsi" w:cstheme="minorHAnsi"/>
          <w:b/>
          <w:szCs w:val="21"/>
        </w:rPr>
        <w:t>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</w:t>
      </w:r>
      <w:r>
        <w:rPr>
          <w:rFonts w:asciiTheme="minorHAnsi" w:hAnsiTheme="minorHAnsi" w:cstheme="minorHAnsi"/>
          <w:b/>
          <w:szCs w:val="21"/>
          <w:lang w:val="sr-Cyrl-RS"/>
        </w:rPr>
        <w:t xml:space="preserve">Право учешћа </w:t>
      </w:r>
    </w:p>
    <w:p w14:paraId="3DA6D9F0" w14:textId="77777777" w:rsidR="003E3BA3" w:rsidRPr="007E5653" w:rsidRDefault="003E3BA3" w:rsidP="003E3BA3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</w:p>
    <w:p w14:paraId="4503AD98" w14:textId="77777777" w:rsidR="003E3BA3" w:rsidRPr="007E5653" w:rsidRDefault="003E3BA3" w:rsidP="003E3BA3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Право учешћа на Позиву имају јединице локалне самоуправе са подручја АП  Војводине </w:t>
      </w:r>
    </w:p>
    <w:p w14:paraId="39277F27" w14:textId="77777777" w:rsidR="003E3BA3" w:rsidRPr="007E5653" w:rsidRDefault="003E3BA3" w:rsidP="003E3BA3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(у даљем тексту: Подносилац пријаве).</w:t>
      </w:r>
    </w:p>
    <w:p w14:paraId="3B45DA54" w14:textId="77777777" w:rsidR="003E3BA3" w:rsidRPr="007E5653" w:rsidRDefault="003E3BA3" w:rsidP="003E3BA3">
      <w:p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 Подносилац пријаве може аплицирати са више пријава.</w:t>
      </w:r>
    </w:p>
    <w:p w14:paraId="01D59638" w14:textId="14736DEB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Трајање </w:t>
      </w:r>
    </w:p>
    <w:p w14:paraId="79F0A3AE" w14:textId="77777777" w:rsidR="003E3BA3" w:rsidRPr="007E5653" w:rsidRDefault="003E3BA3" w:rsidP="003E3BA3">
      <w:p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Позив је отворен до </w:t>
      </w:r>
      <w:r>
        <w:rPr>
          <w:rFonts w:asciiTheme="minorHAnsi" w:hAnsiTheme="minorHAnsi" w:cstheme="minorHAnsi"/>
          <w:szCs w:val="21"/>
          <w:lang w:val="sr-Cyrl-RS"/>
        </w:rPr>
        <w:t>1. октобра</w:t>
      </w:r>
      <w:r w:rsidRPr="00E80770">
        <w:rPr>
          <w:rFonts w:asciiTheme="minorHAnsi" w:hAnsiTheme="minorHAnsi" w:cstheme="minorHAnsi"/>
          <w:szCs w:val="21"/>
          <w:lang w:val="sr-Cyrl-RS"/>
        </w:rPr>
        <w:t xml:space="preserve"> 2025. године.</w:t>
      </w:r>
    </w:p>
    <w:p w14:paraId="1FC4330A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Намена средстава</w:t>
      </w:r>
    </w:p>
    <w:p w14:paraId="44E6D588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Опредељена средства намењена су за финансирање израде техничке документације за развој, унапређење и модернизацију локалне пословне и друштвене инфраструктуре.</w:t>
      </w:r>
    </w:p>
    <w:p w14:paraId="669AA682" w14:textId="2B4C87BF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IV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Услови </w:t>
      </w:r>
    </w:p>
    <w:p w14:paraId="55F2BCD7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Услови за финансирање пројекта по Позиву су:</w:t>
      </w:r>
    </w:p>
    <w:p w14:paraId="5C43685C" w14:textId="77777777" w:rsidR="003E3BA3" w:rsidRPr="007E5653" w:rsidRDefault="003E3BA3" w:rsidP="003E3BA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је реализација пројекта у складу са циљем и наменом Позива,</w:t>
      </w:r>
    </w:p>
    <w:p w14:paraId="21076C9D" w14:textId="77777777" w:rsidR="003E3BA3" w:rsidRPr="007E5653" w:rsidRDefault="003E3BA3" w:rsidP="003E3BA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је пројекат у складу са планским документима Подносиоца пријаве,</w:t>
      </w:r>
    </w:p>
    <w:p w14:paraId="34DE78AF" w14:textId="77777777" w:rsidR="003E3BA3" w:rsidRPr="007E5653" w:rsidRDefault="003E3BA3" w:rsidP="003E3BA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подносилац пријаве достави документацију прописану Позивом</w:t>
      </w:r>
      <w:r w:rsidRPr="007E5653">
        <w:rPr>
          <w:rFonts w:asciiTheme="minorHAnsi" w:hAnsiTheme="minorHAnsi" w:cstheme="minorHAnsi"/>
          <w:szCs w:val="21"/>
          <w:lang w:val="sr-Latn-RS"/>
        </w:rPr>
        <w:t>,</w:t>
      </w:r>
    </w:p>
    <w:p w14:paraId="55C8AD83" w14:textId="449EAF6F" w:rsidR="003E3BA3" w:rsidRPr="007E5653" w:rsidRDefault="003E3BA3" w:rsidP="003E3BA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Подносилац пријаве нема неизмирених обавеза према Покрајинском секретаријату по основу раније потписаних уговора, чији је рок за реализацију истекао,</w:t>
      </w:r>
    </w:p>
    <w:p w14:paraId="0EB54F90" w14:textId="77777777" w:rsidR="003E3BA3" w:rsidRPr="007E5653" w:rsidRDefault="003E3BA3" w:rsidP="003E3BA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се против овлашћеног лица за подношење пријаве не води кривични поступак.</w:t>
      </w:r>
    </w:p>
    <w:p w14:paraId="5CB9FA0A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V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Документација</w:t>
      </w:r>
    </w:p>
    <w:p w14:paraId="65BA2A59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Подносилац пријаве је у обавези да достави следећу документацију:</w:t>
      </w:r>
    </w:p>
    <w:p w14:paraId="31F77492" w14:textId="77777777" w:rsidR="003E3BA3" w:rsidRPr="007E5653" w:rsidRDefault="003E3BA3" w:rsidP="003E3B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cs="Calibri"/>
          <w:color w:val="000000"/>
          <w:u w:color="000000"/>
          <w:bdr w:val="nil"/>
          <w:lang w:val="sr-Cyrl-RS" w:eastAsia="sr-Latn-RS"/>
        </w:rPr>
      </w:pPr>
      <w:r w:rsidRPr="007E5653">
        <w:rPr>
          <w:rFonts w:cs="Calibri"/>
          <w:u w:color="000000"/>
          <w:bdr w:val="nil"/>
          <w:lang w:val="sr-Latn-RS" w:eastAsia="sr-Latn-RS"/>
        </w:rPr>
        <w:t>уредно попуњен, оверен и потписан од стране овлашћеног лица образац пријав</w:t>
      </w:r>
      <w:r w:rsidRPr="007E5653">
        <w:rPr>
          <w:rFonts w:cs="Calibri"/>
          <w:u w:color="000000"/>
          <w:bdr w:val="nil"/>
          <w:lang w:val="sr-Cyrl-RS" w:eastAsia="sr-Latn-RS"/>
        </w:rPr>
        <w:t>е</w:t>
      </w:r>
      <w:r w:rsidRPr="007E5653">
        <w:rPr>
          <w:rFonts w:cs="Calibri"/>
          <w:u w:color="000000"/>
          <w:bdr w:val="nil"/>
          <w:lang w:val="sr-Latn-RS" w:eastAsia="sr-Latn-RS"/>
        </w:rPr>
        <w:t xml:space="preserve"> предлога пројекта</w:t>
      </w:r>
      <w:r w:rsidRPr="007E5653">
        <w:rPr>
          <w:rFonts w:cs="Calibri"/>
          <w:u w:color="000000"/>
          <w:bdr w:val="nil"/>
          <w:lang w:val="sr-Cyrl-RS" w:eastAsia="sr-Latn-RS"/>
        </w:rPr>
        <w:t>;</w:t>
      </w:r>
    </w:p>
    <w:p w14:paraId="7D3FCF84" w14:textId="77777777" w:rsidR="003E3BA3" w:rsidRPr="007E5653" w:rsidRDefault="003E3BA3" w:rsidP="003E3BA3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мишљење надлежног органа Подносиоца пријаве за послове урбанизма и просторног планирања да постоји плански основ за планирани пројекат;</w:t>
      </w:r>
    </w:p>
    <w:p w14:paraId="1408E9ED" w14:textId="77777777" w:rsidR="003E3BA3" w:rsidRPr="007E5653" w:rsidRDefault="003E3BA3" w:rsidP="003E3B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cs="Calibri"/>
          <w:color w:val="000000"/>
          <w:u w:color="000000"/>
          <w:bdr w:val="nil"/>
          <w:lang w:val="sr-Cyrl-RS" w:eastAsia="sr-Latn-RS"/>
        </w:rPr>
      </w:pPr>
      <w:r w:rsidRPr="007E5653">
        <w:rPr>
          <w:rFonts w:eastAsia="Times New Roman" w:cs="Calibri"/>
          <w:noProof/>
          <w:color w:val="000000"/>
          <w:u w:color="000000"/>
          <w:bdr w:val="nil"/>
          <w:lang w:val="sr-Cyrl-RS" w:eastAsia="sr-Latn-RS"/>
        </w:rPr>
        <w:lastRenderedPageBreak/>
        <w:t>информацију о постојећој техничкој документацији, уколико се аплицира за наредну фазу израде, у ком случају Покрајински секретаријат задржава право да од Подносиоца пријаве, према потреби о томе затражи додатну документацију и информације;</w:t>
      </w:r>
    </w:p>
    <w:p w14:paraId="3502DD06" w14:textId="77777777" w:rsidR="003E3BA3" w:rsidRPr="007E5653" w:rsidRDefault="003E3BA3" w:rsidP="003E3BA3">
      <w:pPr>
        <w:numPr>
          <w:ilvl w:val="0"/>
          <w:numId w:val="2"/>
        </w:numPr>
        <w:spacing w:after="0" w:line="360" w:lineRule="auto"/>
        <w:contextualSpacing/>
        <w:jc w:val="both"/>
        <w:rPr>
          <w:rFonts w:cs="Calibri"/>
          <w:u w:color="000000"/>
          <w:bdr w:val="nil"/>
          <w:lang w:val="sr-Cyrl-RS" w:eastAsia="sr-Latn-RS"/>
        </w:rPr>
      </w:pPr>
      <w:r w:rsidRPr="007E5653">
        <w:rPr>
          <w:rFonts w:cs="Calibri"/>
          <w:u w:color="000000"/>
          <w:bdr w:val="nil"/>
          <w:lang w:val="sr-Cyrl-RS" w:eastAsia="sr-Latn-RS"/>
        </w:rPr>
        <w:t>да Подносилац пријаве достави детаљно описан пројектни задатак за израду техничке документације;</w:t>
      </w:r>
    </w:p>
    <w:p w14:paraId="49E6044C" w14:textId="132B969E" w:rsidR="003E3BA3" w:rsidRPr="007E5653" w:rsidRDefault="003E3BA3" w:rsidP="003E3BA3">
      <w:pPr>
        <w:numPr>
          <w:ilvl w:val="0"/>
          <w:numId w:val="2"/>
        </w:numPr>
        <w:spacing w:after="0" w:line="360" w:lineRule="auto"/>
        <w:contextualSpacing/>
        <w:jc w:val="both"/>
        <w:rPr>
          <w:rFonts w:cs="Calibri"/>
          <w:color w:val="FF0000"/>
          <w:u w:color="000000"/>
          <w:bdr w:val="nil"/>
          <w:lang w:val="sr-Cyrl-RS" w:eastAsia="sr-Latn-RS"/>
        </w:rPr>
      </w:pPr>
      <w:r w:rsidRPr="007E5653">
        <w:rPr>
          <w:rFonts w:eastAsia="Times New Roman" w:cs="Calibri"/>
          <w:noProof/>
          <w:lang w:val="sr-Cyrl-RS"/>
        </w:rPr>
        <w:t>изјаву Подносиоца пријаве да нема неизмирених обавеза према Покрајинском секретаријату, по основу раније потписаних уговора, чији је рок за реализацију истекао (</w:t>
      </w:r>
      <w:r w:rsidR="00635441">
        <w:rPr>
          <w:rFonts w:eastAsia="Times New Roman" w:cs="Calibri"/>
          <w:noProof/>
          <w:lang w:val="sr-Cyrl-RS"/>
        </w:rPr>
        <w:t>Образац 1 - налази се на сајту Покрајинског с</w:t>
      </w:r>
      <w:r w:rsidRPr="007E5653">
        <w:rPr>
          <w:rFonts w:eastAsia="Times New Roman" w:cs="Calibri"/>
          <w:noProof/>
          <w:lang w:val="sr-Cyrl-RS"/>
        </w:rPr>
        <w:t>екретаријата);</w:t>
      </w:r>
    </w:p>
    <w:p w14:paraId="183FBEA3" w14:textId="6EFBEC6A" w:rsidR="003E3BA3" w:rsidRPr="007E5653" w:rsidRDefault="003E3BA3" w:rsidP="003E3BA3">
      <w:pPr>
        <w:numPr>
          <w:ilvl w:val="0"/>
          <w:numId w:val="2"/>
        </w:numPr>
        <w:spacing w:before="120"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изјаву да се против лица овлашћеног за подношење пријаве не води кривични поступак (</w:t>
      </w:r>
      <w:r w:rsidR="00635441">
        <w:rPr>
          <w:rFonts w:eastAsia="Times New Roman" w:cs="Calibri"/>
          <w:noProof/>
          <w:lang w:val="sr-Cyrl-RS"/>
        </w:rPr>
        <w:t>Образац 2 - налази се на сајту Покрајинског с</w:t>
      </w:r>
      <w:r w:rsidRPr="007E5653">
        <w:rPr>
          <w:rFonts w:eastAsia="Times New Roman" w:cs="Calibri"/>
          <w:noProof/>
          <w:lang w:val="sr-Cyrl-RS"/>
        </w:rPr>
        <w:t>екретаријата);</w:t>
      </w:r>
    </w:p>
    <w:p w14:paraId="608143B0" w14:textId="77777777" w:rsidR="003E3BA3" w:rsidRPr="007E5653" w:rsidRDefault="003E3BA3" w:rsidP="003E3BA3">
      <w:pPr>
        <w:numPr>
          <w:ilvl w:val="0"/>
          <w:numId w:val="2"/>
        </w:numPr>
        <w:spacing w:before="120"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одлуку о буџету јединице локалне самоуправе (уколико у одлуци постоје планирана средства за извођење радова пројекта за чију документацију јединица локалне самоуправе конкурише);</w:t>
      </w:r>
    </w:p>
    <w:p w14:paraId="5A0E93EC" w14:textId="77777777" w:rsidR="003E3BA3" w:rsidRPr="00CE1972" w:rsidRDefault="003E3BA3" w:rsidP="003E3BA3">
      <w:pPr>
        <w:pStyle w:val="ListParagraph"/>
        <w:numPr>
          <w:ilvl w:val="0"/>
          <w:numId w:val="2"/>
        </w:numPr>
        <w:spacing w:before="120" w:after="0" w:line="360" w:lineRule="auto"/>
        <w:jc w:val="both"/>
        <w:rPr>
          <w:rFonts w:eastAsia="Times New Roman" w:cs="Calibri"/>
          <w:noProof/>
          <w:szCs w:val="21"/>
          <w:lang w:val="sr-Cyrl-RS"/>
        </w:rPr>
      </w:pPr>
      <w:r w:rsidRPr="00CE1972">
        <w:rPr>
          <w:rFonts w:eastAsia="Times New Roman" w:cs="Calibri"/>
          <w:noProof/>
          <w:szCs w:val="21"/>
          <w:lang w:val="sr-Cyrl-RS"/>
        </w:rPr>
        <w:t>целокупну документацију од тачке 1 – 7 скенирану на УСБ-у.</w:t>
      </w:r>
    </w:p>
    <w:p w14:paraId="7C4DAE88" w14:textId="77777777" w:rsidR="003E3BA3" w:rsidRPr="00CE1972" w:rsidRDefault="003E3BA3" w:rsidP="003E3BA3">
      <w:pPr>
        <w:pStyle w:val="ListParagraph"/>
        <w:spacing w:before="120" w:after="0" w:line="360" w:lineRule="auto"/>
        <w:jc w:val="both"/>
        <w:rPr>
          <w:rFonts w:eastAsia="Times New Roman" w:cs="Calibri"/>
          <w:noProof/>
          <w:szCs w:val="21"/>
          <w:lang w:val="sr-Cyrl-RS"/>
        </w:rPr>
      </w:pPr>
    </w:p>
    <w:p w14:paraId="4B2D8387" w14:textId="77777777" w:rsidR="003E3BA3" w:rsidRPr="001D102D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1D102D">
        <w:rPr>
          <w:rFonts w:asciiTheme="minorHAnsi" w:hAnsiTheme="minorHAnsi" w:cstheme="minorHAnsi"/>
          <w:szCs w:val="21"/>
          <w:lang w:val="sr-Cyrl-RS"/>
        </w:rPr>
        <w:t>Пријава и приложена документација не враћају се Подносиоцима пријаве.</w:t>
      </w:r>
    </w:p>
    <w:p w14:paraId="2C1BB014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1D102D">
        <w:rPr>
          <w:rFonts w:asciiTheme="minorHAnsi" w:hAnsiTheme="minorHAnsi" w:cstheme="minorHAnsi"/>
          <w:szCs w:val="21"/>
          <w:lang w:val="sr-Cyrl-RS"/>
        </w:rPr>
        <w:t>Задржава се право да се од Подносиоца пријаве затражи и додатна документација.</w:t>
      </w:r>
    </w:p>
    <w:p w14:paraId="3D3EC788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VI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Начин подношења пријаве</w:t>
      </w:r>
    </w:p>
    <w:p w14:paraId="2C798533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Пријава са целокупном документацијом доставља се у писаном облику, у запечаћеној коверти, заштићеној од оштећења која могу настати у транспорту. </w:t>
      </w:r>
    </w:p>
    <w:p w14:paraId="4CF7B25E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Целокупна документација се доставља и у електронској форми на УСБ-у, који мора бити приложен у коверти са физичким документима као део обавезне документације.</w:t>
      </w:r>
    </w:p>
    <w:p w14:paraId="5582ACDE" w14:textId="77777777" w:rsidR="003E3BA3" w:rsidRPr="007144D9" w:rsidRDefault="003E3BA3" w:rsidP="003E3BA3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Пријаве се достављају предајом на Писарницу покрајинског органа управе или поштом на следећу адресу: Покрајински секретаријат за регионални развој, међурегионалну сарадњу и локалну самоуправу, Булевар Михајла Пупина 16, 21000 Нови Сад.</w:t>
      </w:r>
    </w:p>
    <w:p w14:paraId="112EAFFF" w14:textId="152F3648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Пријаве послате на други начин (нпр. факсом, електронском по</w:t>
      </w:r>
      <w:r w:rsidR="00635441">
        <w:rPr>
          <w:rFonts w:asciiTheme="minorHAnsi" w:hAnsiTheme="minorHAnsi" w:cstheme="minorHAnsi"/>
          <w:szCs w:val="21"/>
          <w:lang w:val="sr-Cyrl-RS"/>
        </w:rPr>
        <w:t>штом или директно у просторије Покрајинског с</w:t>
      </w:r>
      <w:bookmarkStart w:id="0" w:name="_GoBack"/>
      <w:bookmarkEnd w:id="0"/>
      <w:r w:rsidRPr="007E5653">
        <w:rPr>
          <w:rFonts w:asciiTheme="minorHAnsi" w:hAnsiTheme="minorHAnsi" w:cstheme="minorHAnsi"/>
          <w:szCs w:val="21"/>
          <w:lang w:val="sr-Cyrl-RS"/>
        </w:rPr>
        <w:t>екретаријата) или испоручене на другу адресу неће бити узете у разматрање.</w:t>
      </w:r>
    </w:p>
    <w:p w14:paraId="472279F7" w14:textId="4089618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Недопуштене пријаве (пријаве поднете од стране неовлашћених лица и субјеката који нису предвиђени Позивом, односно оне које се не односе на Позивом предвиђене намене, пријаве послате факсом или електронском поштом, пријаве које нису поднете на одговарајућем обрасцу</w:t>
      </w:r>
      <w:r w:rsidR="00691575">
        <w:rPr>
          <w:rFonts w:asciiTheme="minorHAnsi" w:hAnsiTheme="minorHAnsi" w:cstheme="minorHAnsi"/>
          <w:szCs w:val="21"/>
          <w:lang w:val="sr-Cyrl-RS"/>
        </w:rPr>
        <w:t xml:space="preserve"> и </w:t>
      </w:r>
      <w:r w:rsidR="00691575">
        <w:rPr>
          <w:rFonts w:asciiTheme="minorHAnsi" w:hAnsiTheme="minorHAnsi" w:cstheme="minorHAnsi"/>
          <w:szCs w:val="21"/>
          <w:lang w:val="sr-Cyrl-RS"/>
        </w:rPr>
        <w:lastRenderedPageBreak/>
        <w:t>попуњене графитном оловком</w:t>
      </w:r>
      <w:r w:rsidRPr="007E5653">
        <w:rPr>
          <w:rFonts w:asciiTheme="minorHAnsi" w:hAnsiTheme="minorHAnsi" w:cstheme="minorHAnsi"/>
          <w:szCs w:val="21"/>
          <w:lang w:val="sr-Cyrl-RS"/>
        </w:rPr>
        <w:t>), непотпуне и неразумљиве пријаве (пријаве уз које нису приложени сви потребни документи, пријаве које су непотписане</w:t>
      </w:r>
      <w:r w:rsidR="00691575">
        <w:rPr>
          <w:rFonts w:asciiTheme="minorHAnsi" w:hAnsiTheme="minorHAnsi" w:cstheme="minorHAnsi"/>
          <w:szCs w:val="21"/>
          <w:lang w:val="sr-Cyrl-RS"/>
        </w:rPr>
        <w:t xml:space="preserve"> и </w:t>
      </w:r>
      <w:r w:rsidRPr="007E5653">
        <w:rPr>
          <w:rFonts w:asciiTheme="minorHAnsi" w:hAnsiTheme="minorHAnsi" w:cstheme="minorHAnsi"/>
          <w:szCs w:val="21"/>
          <w:lang w:val="sr-Cyrl-RS"/>
        </w:rPr>
        <w:t>са непопуњеним рубрикама) неће бити разматране.</w:t>
      </w:r>
    </w:p>
    <w:p w14:paraId="10ADD8A4" w14:textId="77777777" w:rsidR="003E3BA3" w:rsidRPr="007E5653" w:rsidRDefault="003E3BA3" w:rsidP="003E3BA3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VII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Критеријум за оцену пројеката</w:t>
      </w:r>
    </w:p>
    <w:p w14:paraId="785CD23B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Критеријуми за оцену пројеката су следећи:</w:t>
      </w:r>
    </w:p>
    <w:p w14:paraId="1BFA2CA7" w14:textId="77777777" w:rsidR="003E3BA3" w:rsidRPr="00121343" w:rsidRDefault="003E3BA3" w:rsidP="003E3BA3">
      <w:pPr>
        <w:spacing w:after="160" w:line="360" w:lineRule="auto"/>
        <w:jc w:val="center"/>
        <w:rPr>
          <w:b/>
          <w:lang w:val="sr-Cyrl-RS"/>
        </w:rPr>
      </w:pPr>
      <w:r w:rsidRPr="00121343">
        <w:rPr>
          <w:b/>
          <w:lang w:val="sr-Cyrl-RS"/>
        </w:rPr>
        <w:t>КРИТЕРИЈУМИ ЗА ОЦЕНУ ПРОЈЕКАТА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9"/>
        <w:gridCol w:w="6"/>
        <w:gridCol w:w="2794"/>
        <w:gridCol w:w="6"/>
      </w:tblGrid>
      <w:tr w:rsidR="003E3BA3" w:rsidRPr="000A2F17" w14:paraId="121FDA87" w14:textId="77777777" w:rsidTr="009E473C">
        <w:tc>
          <w:tcPr>
            <w:tcW w:w="9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78FC906" w14:textId="77777777" w:rsidR="003E3BA3" w:rsidRPr="000A2F17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0A2F17">
              <w:rPr>
                <w:rFonts w:cs="Calibri"/>
                <w:b/>
                <w:noProof/>
                <w:lang w:val="sr-Cyrl-RS"/>
              </w:rPr>
              <w:t>Развијеност јединица локалне самоуправе</w:t>
            </w:r>
            <w:r w:rsidRPr="00A32ACB">
              <w:rPr>
                <w:rFonts w:cs="Calibri"/>
                <w:b/>
                <w:noProof/>
                <w:lang w:val="sr-Cyrl-RS"/>
              </w:rPr>
              <w:t>*</w:t>
            </w:r>
          </w:p>
        </w:tc>
      </w:tr>
      <w:tr w:rsidR="003E3BA3" w:rsidRPr="000A2F17" w14:paraId="5464E6E4" w14:textId="77777777" w:rsidTr="009E473C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6B0F1D5F" w14:textId="77777777" w:rsidR="003E3BA3" w:rsidRPr="000A2F17" w:rsidRDefault="003E3BA3" w:rsidP="009E473C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четврта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испод 60%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3DE6A56C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Latn-RS"/>
              </w:rPr>
              <w:t>2</w:t>
            </w: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3E3BA3" w:rsidRPr="000A2F17" w14:paraId="14DDC211" w14:textId="77777777" w:rsidTr="009E473C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3DFA9DAF" w14:textId="77777777" w:rsidR="003E3BA3" w:rsidRPr="000A2F17" w:rsidRDefault="003E3BA3" w:rsidP="009E473C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трећа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од 60% до 80%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528008C8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3E3BA3" w:rsidRPr="000A2F17" w14:paraId="6FFDBC8F" w14:textId="77777777" w:rsidTr="009E473C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1A6ABEC0" w14:textId="77777777" w:rsidR="003E3BA3" w:rsidRPr="000A2F17" w:rsidRDefault="003E3BA3" w:rsidP="009E473C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друга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од 80% до 100%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0C24848D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5</w:t>
            </w:r>
          </w:p>
        </w:tc>
      </w:tr>
      <w:tr w:rsidR="003E3BA3" w:rsidRPr="000A2F17" w14:paraId="042C3E54" w14:textId="77777777" w:rsidTr="009E473C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7437A1A6" w14:textId="77777777" w:rsidR="003E3BA3" w:rsidRPr="000A2F17" w:rsidRDefault="003E3BA3" w:rsidP="009E473C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прва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изнад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15414622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3E3BA3" w:rsidRPr="000A2F17" w14:paraId="64EC49C4" w14:textId="77777777" w:rsidTr="009E473C">
        <w:trPr>
          <w:gridAfter w:val="1"/>
          <w:wAfter w:w="6" w:type="dxa"/>
        </w:trPr>
        <w:tc>
          <w:tcPr>
            <w:tcW w:w="9289" w:type="dxa"/>
            <w:gridSpan w:val="3"/>
            <w:shd w:val="clear" w:color="auto" w:fill="DBE5F1"/>
          </w:tcPr>
          <w:p w14:paraId="305FC3EE" w14:textId="77777777" w:rsidR="003E3BA3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Финансирање израде техничке документације од стране Покрајинског секретаријата у периоду од претхидне 2 (две) године</w:t>
            </w:r>
          </w:p>
        </w:tc>
      </w:tr>
      <w:tr w:rsidR="003E3BA3" w:rsidRPr="000A2F17" w14:paraId="4ED4DCA8" w14:textId="77777777" w:rsidTr="009E473C">
        <w:trPr>
          <w:gridAfter w:val="1"/>
          <w:wAfter w:w="6" w:type="dxa"/>
        </w:trPr>
        <w:tc>
          <w:tcPr>
            <w:tcW w:w="6495" w:type="dxa"/>
            <w:gridSpan w:val="2"/>
            <w:shd w:val="clear" w:color="auto" w:fill="FFFFFF" w:themeFill="background1"/>
          </w:tcPr>
          <w:p w14:paraId="57D6C8E8" w14:textId="77777777" w:rsidR="003E3BA3" w:rsidRPr="000A2F17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И</w:t>
            </w:r>
            <w:r w:rsidRPr="00280E85">
              <w:rPr>
                <w:rFonts w:cs="Calibri"/>
                <w:b/>
                <w:noProof/>
                <w:lang w:val="sr-Cyrl-RS"/>
              </w:rPr>
              <w:t>зраде техничке документације</w:t>
            </w:r>
            <w:r>
              <w:rPr>
                <w:rFonts w:cs="Calibri"/>
                <w:b/>
                <w:noProof/>
                <w:lang w:val="sr-Cyrl-RS"/>
              </w:rPr>
              <w:t xml:space="preserve"> ЈЛС није финансирана у периоду од претхидне две</w:t>
            </w:r>
            <w:r w:rsidRPr="00280E85">
              <w:rPr>
                <w:rFonts w:cs="Calibri"/>
                <w:b/>
                <w:noProof/>
                <w:lang w:val="sr-Cyrl-RS"/>
              </w:rPr>
              <w:t xml:space="preserve"> године</w:t>
            </w:r>
          </w:p>
        </w:tc>
        <w:tc>
          <w:tcPr>
            <w:tcW w:w="2794" w:type="dxa"/>
            <w:shd w:val="clear" w:color="auto" w:fill="FFFFFF" w:themeFill="background1"/>
          </w:tcPr>
          <w:p w14:paraId="65E64AEA" w14:textId="77777777" w:rsidR="003E3BA3" w:rsidRPr="000A2F17" w:rsidRDefault="003E3BA3" w:rsidP="009E473C">
            <w:pPr>
              <w:spacing w:after="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3E3BA3" w:rsidRPr="000A2F17" w14:paraId="5B1FDE9F" w14:textId="77777777" w:rsidTr="009E473C">
        <w:trPr>
          <w:gridAfter w:val="1"/>
          <w:wAfter w:w="6" w:type="dxa"/>
        </w:trPr>
        <w:tc>
          <w:tcPr>
            <w:tcW w:w="6495" w:type="dxa"/>
            <w:gridSpan w:val="2"/>
            <w:shd w:val="clear" w:color="auto" w:fill="FFFFFF" w:themeFill="background1"/>
          </w:tcPr>
          <w:p w14:paraId="5721F737" w14:textId="77777777" w:rsidR="003E3BA3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И</w:t>
            </w:r>
            <w:r w:rsidRPr="00280E85">
              <w:rPr>
                <w:rFonts w:cs="Calibri"/>
                <w:b/>
                <w:noProof/>
                <w:lang w:val="sr-Cyrl-RS"/>
              </w:rPr>
              <w:t>зраде техничке документације</w:t>
            </w:r>
            <w:r>
              <w:rPr>
                <w:rFonts w:cs="Calibri"/>
                <w:b/>
                <w:noProof/>
                <w:lang w:val="sr-Cyrl-RS"/>
              </w:rPr>
              <w:t xml:space="preserve"> ЈЛС </w:t>
            </w:r>
            <w:r w:rsidRPr="00280E85">
              <w:rPr>
                <w:rFonts w:cs="Calibri"/>
                <w:b/>
                <w:noProof/>
                <w:lang w:val="sr-Cyrl-RS"/>
              </w:rPr>
              <w:t>је</w:t>
            </w:r>
            <w:r>
              <w:rPr>
                <w:rFonts w:cs="Calibri"/>
                <w:b/>
                <w:noProof/>
                <w:lang w:val="sr-Cyrl-RS"/>
              </w:rPr>
              <w:t>сте</w:t>
            </w:r>
            <w:r w:rsidRPr="00280E85">
              <w:rPr>
                <w:rFonts w:cs="Calibri"/>
                <w:b/>
                <w:noProof/>
                <w:lang w:val="sr-Cyrl-RS"/>
              </w:rPr>
              <w:t xml:space="preserve"> финансирана у периоду од претхидне две године</w:t>
            </w:r>
          </w:p>
        </w:tc>
        <w:tc>
          <w:tcPr>
            <w:tcW w:w="2794" w:type="dxa"/>
            <w:shd w:val="clear" w:color="auto" w:fill="FFFFFF" w:themeFill="background1"/>
          </w:tcPr>
          <w:p w14:paraId="4D15DF2F" w14:textId="77777777" w:rsidR="003E3BA3" w:rsidRDefault="003E3BA3" w:rsidP="009E473C">
            <w:pPr>
              <w:spacing w:after="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3E3BA3" w:rsidRPr="000A2F17" w14:paraId="1F941B29" w14:textId="77777777" w:rsidTr="009E473C">
        <w:trPr>
          <w:gridAfter w:val="1"/>
          <w:wAfter w:w="6" w:type="dxa"/>
        </w:trPr>
        <w:tc>
          <w:tcPr>
            <w:tcW w:w="9289" w:type="dxa"/>
            <w:gridSpan w:val="3"/>
            <w:shd w:val="clear" w:color="auto" w:fill="DBE5F1"/>
          </w:tcPr>
          <w:p w14:paraId="70AC5DB7" w14:textId="77777777" w:rsidR="003E3BA3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280E85">
              <w:rPr>
                <w:rFonts w:cs="Calibri"/>
                <w:b/>
                <w:noProof/>
                <w:lang w:val="sr-Cyrl-RS"/>
              </w:rPr>
              <w:t>Очекивани ефекти који се постижу реализацијом пројекта</w:t>
            </w:r>
          </w:p>
        </w:tc>
      </w:tr>
      <w:tr w:rsidR="003E3BA3" w:rsidRPr="000A2F17" w14:paraId="0FFF8222" w14:textId="77777777" w:rsidTr="009E473C">
        <w:trPr>
          <w:gridAfter w:val="1"/>
          <w:wAfter w:w="6" w:type="dxa"/>
        </w:trPr>
        <w:tc>
          <w:tcPr>
            <w:tcW w:w="6489" w:type="dxa"/>
            <w:shd w:val="clear" w:color="auto" w:fill="auto"/>
          </w:tcPr>
          <w:p w14:paraId="0FE2BA1B" w14:textId="0E4535A8" w:rsidR="003E3BA3" w:rsidRPr="000A2F17" w:rsidRDefault="003E3BA3" w:rsidP="004C17C7">
            <w:pPr>
              <w:outlineLvl w:val="0"/>
              <w:rPr>
                <w:rFonts w:cs="Calibri"/>
                <w:bCs/>
                <w:noProof/>
                <w:lang w:val="sr-Latn-RS"/>
              </w:rPr>
            </w:pPr>
            <w:r w:rsidRPr="000A2F17">
              <w:rPr>
                <w:rFonts w:cs="Calibri"/>
                <w:bCs/>
                <w:noProof/>
                <w:lang w:val="sr-Cyrl-RS"/>
              </w:rPr>
              <w:t xml:space="preserve">Утицај на </w:t>
            </w:r>
            <w:r w:rsidR="004C17C7">
              <w:rPr>
                <w:rFonts w:cs="Calibri"/>
                <w:bCs/>
                <w:noProof/>
                <w:lang w:val="sr-Cyrl-RS"/>
              </w:rPr>
              <w:t>унапређење инфраструктурне доступности, квалитета јавних услуга, иновација и одрживог развоја локалне заједнице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080A58DB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3E3BA3" w:rsidRPr="000A2F17" w14:paraId="1A8A0291" w14:textId="77777777" w:rsidTr="009E473C">
        <w:trPr>
          <w:gridAfter w:val="1"/>
          <w:wAfter w:w="6" w:type="dxa"/>
        </w:trPr>
        <w:tc>
          <w:tcPr>
            <w:tcW w:w="6489" w:type="dxa"/>
            <w:tcBorders>
              <w:bottom w:val="single" w:sz="4" w:space="0" w:color="auto"/>
            </w:tcBorders>
            <w:shd w:val="clear" w:color="auto" w:fill="auto"/>
          </w:tcPr>
          <w:p w14:paraId="58300B25" w14:textId="21D2BB4D" w:rsidR="003E3BA3" w:rsidRPr="000A2F17" w:rsidRDefault="003E3BA3" w:rsidP="009E473C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0A2F17">
              <w:rPr>
                <w:rFonts w:cs="Calibri"/>
                <w:bCs/>
                <w:noProof/>
                <w:lang w:val="sr-Cyrl-RS"/>
              </w:rPr>
              <w:t xml:space="preserve">Утицај на </w:t>
            </w:r>
            <w:r w:rsidR="004C17C7">
              <w:rPr>
                <w:rFonts w:cs="Calibri"/>
                <w:bCs/>
                <w:noProof/>
                <w:lang w:val="sr-Cyrl-RS"/>
              </w:rPr>
              <w:t>побољшање животног стандарда, предвиђање будућих потреба и подстицај нових инвестиција</w:t>
            </w: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87E81" w14:textId="77777777" w:rsidR="003E3BA3" w:rsidRPr="000A2F17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3E3BA3" w14:paraId="4CFD17F9" w14:textId="77777777" w:rsidTr="009E473C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9295" w:type="dxa"/>
            <w:gridSpan w:val="4"/>
            <w:shd w:val="clear" w:color="auto" w:fill="DBE5F1"/>
          </w:tcPr>
          <w:p w14:paraId="3B913723" w14:textId="77777777" w:rsidR="003E3BA3" w:rsidRDefault="003E3BA3" w:rsidP="009E473C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Обезбеђена средства за извођење радова пројекта за чију техничку документацију конкурише локална самоуправа</w:t>
            </w:r>
          </w:p>
        </w:tc>
      </w:tr>
      <w:tr w:rsidR="003E3BA3" w:rsidRPr="000A2F17" w14:paraId="5DA10A66" w14:textId="77777777" w:rsidTr="009E473C">
        <w:trPr>
          <w:gridAfter w:val="1"/>
          <w:wAfter w:w="6" w:type="dxa"/>
          <w:trHeight w:val="810"/>
        </w:trPr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98A1" w14:textId="77777777" w:rsidR="003E3BA3" w:rsidRDefault="003E3BA3" w:rsidP="009E473C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854235">
              <w:rPr>
                <w:rFonts w:cs="Calibri"/>
                <w:bCs/>
                <w:noProof/>
                <w:lang w:val="sr-Cyrl-RS"/>
              </w:rPr>
              <w:t xml:space="preserve">ЈЛС </w:t>
            </w:r>
            <w:r>
              <w:rPr>
                <w:rFonts w:cs="Calibri"/>
                <w:bCs/>
                <w:noProof/>
                <w:lang w:val="sr-Cyrl-RS"/>
              </w:rPr>
              <w:t>има обезбеђена средства за извођење радова пројекта која</w:t>
            </w:r>
          </w:p>
          <w:p w14:paraId="672524EA" w14:textId="77777777" w:rsidR="003E3BA3" w:rsidRPr="000A2F17" w:rsidRDefault="003E3BA3" w:rsidP="009E473C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су планирана одлуком о буџету локалне самоуправе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0957" w14:textId="77777777" w:rsidR="003E3BA3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3E3BA3" w:rsidRPr="000A2F17" w14:paraId="7D7AD6DF" w14:textId="77777777" w:rsidTr="009E473C">
        <w:trPr>
          <w:gridAfter w:val="1"/>
          <w:wAfter w:w="6" w:type="dxa"/>
          <w:trHeight w:val="945"/>
        </w:trPr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C2F3" w14:textId="77777777" w:rsidR="003E3BA3" w:rsidRDefault="003E3BA3" w:rsidP="009E473C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не</w:t>
            </w:r>
            <w:r w:rsidRPr="00854235">
              <w:rPr>
                <w:rFonts w:cs="Calibri"/>
                <w:bCs/>
                <w:noProof/>
                <w:lang w:val="sr-Cyrl-RS"/>
              </w:rPr>
              <w:t>ма обезбеђена средства за извођење радова пројекта која</w:t>
            </w:r>
          </w:p>
          <w:p w14:paraId="7EFB9A39" w14:textId="77777777" w:rsidR="003E3BA3" w:rsidRPr="00854235" w:rsidRDefault="003E3BA3" w:rsidP="009E473C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854235">
              <w:rPr>
                <w:rFonts w:cs="Calibri"/>
                <w:bCs/>
                <w:noProof/>
                <w:lang w:val="sr-Cyrl-RS"/>
              </w:rPr>
              <w:t>су планирана одлуком о буџету локалне самоуправе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485" w14:textId="77777777" w:rsidR="003E3BA3" w:rsidRDefault="003E3BA3" w:rsidP="009E473C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3E3BA3" w14:paraId="3F6C077B" w14:textId="77777777" w:rsidTr="009E473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trHeight w:val="100"/>
        </w:trPr>
        <w:tc>
          <w:tcPr>
            <w:tcW w:w="9289" w:type="dxa"/>
            <w:gridSpan w:val="3"/>
            <w:tcBorders>
              <w:top w:val="single" w:sz="4" w:space="0" w:color="auto"/>
            </w:tcBorders>
          </w:tcPr>
          <w:p w14:paraId="6C9230EE" w14:textId="77777777" w:rsidR="003E3BA3" w:rsidRDefault="003E3BA3" w:rsidP="009E473C">
            <w:pPr>
              <w:jc w:val="both"/>
              <w:rPr>
                <w:b/>
                <w:lang w:val="sr-Cyrl-RS"/>
              </w:rPr>
            </w:pPr>
          </w:p>
        </w:tc>
      </w:tr>
    </w:tbl>
    <w:p w14:paraId="2E67DE9D" w14:textId="77777777" w:rsidR="003E3BA3" w:rsidRPr="00581EBB" w:rsidRDefault="003E3BA3" w:rsidP="003E3BA3">
      <w:pPr>
        <w:spacing w:after="160" w:line="259" w:lineRule="auto"/>
        <w:jc w:val="both"/>
        <w:rPr>
          <w:rFonts w:cs="Calibri"/>
          <w:sz w:val="18"/>
          <w:szCs w:val="18"/>
          <w:lang w:val="sr-Cyrl-RS"/>
        </w:rPr>
      </w:pPr>
      <w:r w:rsidRPr="00121343">
        <w:rPr>
          <w:b/>
          <w:lang w:val="sr-Cyrl-RS"/>
        </w:rPr>
        <w:t>*</w:t>
      </w:r>
      <w:r w:rsidRPr="00121343">
        <w:rPr>
          <w:rFonts w:cs="Calibri"/>
          <w:sz w:val="18"/>
          <w:szCs w:val="18"/>
          <w:lang w:val="sr-Cyrl-RS"/>
        </w:rPr>
        <w:t xml:space="preserve"> Уредба о утврђивању јединствене листе развијености региона и јединица локалне самоуправе за 2014. годину (“Сл. гласник РС”, бр. 104/2014)</w:t>
      </w:r>
    </w:p>
    <w:p w14:paraId="61D3FA36" w14:textId="77777777" w:rsidR="003E3BA3" w:rsidRDefault="003E3BA3" w:rsidP="003E3BA3">
      <w:pPr>
        <w:spacing w:after="160" w:line="360" w:lineRule="auto"/>
        <w:jc w:val="center"/>
        <w:rPr>
          <w:rFonts w:asciiTheme="minorHAnsi" w:hAnsiTheme="minorHAnsi" w:cstheme="minorHAnsi"/>
          <w:b/>
          <w:szCs w:val="21"/>
        </w:rPr>
      </w:pPr>
    </w:p>
    <w:p w14:paraId="1C32C6E8" w14:textId="77777777" w:rsidR="003E3BA3" w:rsidRPr="00CE1972" w:rsidRDefault="003E3BA3" w:rsidP="003E3BA3">
      <w:pPr>
        <w:spacing w:after="160" w:line="360" w:lineRule="auto"/>
        <w:jc w:val="center"/>
        <w:rPr>
          <w:rFonts w:cs="Calibri"/>
          <w:sz w:val="18"/>
          <w:szCs w:val="18"/>
        </w:rPr>
      </w:pPr>
      <w:r w:rsidRPr="007E5653">
        <w:rPr>
          <w:rFonts w:asciiTheme="minorHAnsi" w:hAnsiTheme="minorHAnsi" w:cstheme="minorHAnsi"/>
          <w:b/>
          <w:szCs w:val="21"/>
        </w:rPr>
        <w:lastRenderedPageBreak/>
        <w:t>VIII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Избор пројеката</w:t>
      </w:r>
    </w:p>
    <w:p w14:paraId="63056B3A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Покрајински секретар за регионални развој, међурегионалну сарадњу и локалну самоуправу (у даљем тексту: Покрајински секретар) решењем образује Комисију за оцену пријава (у даљем тексту: Комисија). </w:t>
      </w:r>
    </w:p>
    <w:p w14:paraId="61EF6BB5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Комисија врши преглед и оцену пристиглих пријава, формира ранг листу на основу бодовања и саставља записник.</w:t>
      </w:r>
    </w:p>
    <w:p w14:paraId="3903DE37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Недопуштене, непотпуне и неразумљиве пријаве неће бити узете у разматрање.</w:t>
      </w:r>
    </w:p>
    <w:p w14:paraId="6470A730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Пријаве оцењене са мање од 50 бодова неће бити финансиране.</w:t>
      </w:r>
    </w:p>
    <w:p w14:paraId="50CADA04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Покрајински секретар на основу записника и ранг листе Комисије доноси Одлуку о избору пројеката која је коначна.</w:t>
      </w:r>
    </w:p>
    <w:p w14:paraId="111AB5C8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Одлука о избору пројеката објављује се на званичној интернет адреси Покрајинског секретаријата.</w:t>
      </w:r>
    </w:p>
    <w:p w14:paraId="48BC6377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Након објављивања Одлуке о избору пројеката, Покрајински секретаријат и Корисник средстава ће закључити уговор којим регулишу међусобна права и обавезе уговорних страна.</w:t>
      </w:r>
    </w:p>
    <w:p w14:paraId="7E40B3B4" w14:textId="77777777" w:rsidR="003E3BA3" w:rsidRPr="007E5653" w:rsidRDefault="003E3BA3" w:rsidP="003E3BA3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Покрајински секретаријат ће финансирати израду техничке документације у складу са законом којим се регулишу јавне набавке.</w:t>
      </w:r>
    </w:p>
    <w:p w14:paraId="133AFAAD" w14:textId="77777777" w:rsidR="003E3BA3" w:rsidRDefault="003E3BA3" w:rsidP="003E3BA3"/>
    <w:p w14:paraId="58AF831B" w14:textId="77777777" w:rsidR="003E3BA3" w:rsidRDefault="003E3BA3" w:rsidP="003E3BA3">
      <w:pPr>
        <w:rPr>
          <w:rFonts w:cs="Calibri"/>
          <w:lang w:val="sr-Cyrl-RS"/>
        </w:rPr>
      </w:pPr>
      <w: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7"/>
      </w:tblGrid>
      <w:tr w:rsidR="003E3BA3" w:rsidRPr="00154B25" w14:paraId="67863E8C" w14:textId="77777777" w:rsidTr="009E473C">
        <w:trPr>
          <w:trHeight w:val="283"/>
          <w:jc w:val="right"/>
        </w:trPr>
        <w:tc>
          <w:tcPr>
            <w:tcW w:w="4727" w:type="dxa"/>
          </w:tcPr>
          <w:p w14:paraId="60458EDB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54B25">
              <w:rPr>
                <w:rFonts w:eastAsia="Times New Roman"/>
                <w:lang w:val="sr-Cyrl-CS"/>
              </w:rPr>
              <w:t>Покрајински секретар</w:t>
            </w:r>
          </w:p>
        </w:tc>
      </w:tr>
      <w:tr w:rsidR="003E3BA3" w:rsidRPr="00154B25" w14:paraId="272C7C1E" w14:textId="77777777" w:rsidTr="009E473C">
        <w:trPr>
          <w:trHeight w:val="283"/>
          <w:jc w:val="right"/>
        </w:trPr>
        <w:tc>
          <w:tcPr>
            <w:tcW w:w="4727" w:type="dxa"/>
          </w:tcPr>
          <w:p w14:paraId="241A7CA5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3E3BA3" w:rsidRPr="00154B25" w14:paraId="1D1FC4F4" w14:textId="77777777" w:rsidTr="009E473C">
        <w:trPr>
          <w:trHeight w:val="283"/>
          <w:jc w:val="right"/>
        </w:trPr>
        <w:tc>
          <w:tcPr>
            <w:tcW w:w="4727" w:type="dxa"/>
          </w:tcPr>
          <w:p w14:paraId="70A24AE2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54B25">
              <w:rPr>
                <w:rFonts w:eastAsia="Times New Roman"/>
                <w:lang w:val="sr-Cyrl-CS"/>
              </w:rPr>
              <w:t>Александар Софић</w:t>
            </w:r>
          </w:p>
        </w:tc>
      </w:tr>
      <w:tr w:rsidR="003E3BA3" w:rsidRPr="00154B25" w14:paraId="59FEA535" w14:textId="77777777" w:rsidTr="009E473C">
        <w:trPr>
          <w:trHeight w:val="283"/>
          <w:jc w:val="right"/>
        </w:trPr>
        <w:tc>
          <w:tcPr>
            <w:tcW w:w="4727" w:type="dxa"/>
          </w:tcPr>
          <w:p w14:paraId="66D37A10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3E3BA3" w:rsidRPr="00154B25" w14:paraId="4CA02975" w14:textId="77777777" w:rsidTr="009E473C">
        <w:trPr>
          <w:trHeight w:val="283"/>
          <w:jc w:val="right"/>
        </w:trPr>
        <w:tc>
          <w:tcPr>
            <w:tcW w:w="4727" w:type="dxa"/>
          </w:tcPr>
          <w:p w14:paraId="1914C397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154B25">
              <w:rPr>
                <w:rFonts w:eastAsia="Times New Roman"/>
              </w:rPr>
              <w:t>_______________________________</w:t>
            </w:r>
          </w:p>
        </w:tc>
      </w:tr>
      <w:tr w:rsidR="003E3BA3" w:rsidRPr="00154B25" w14:paraId="781EFC58" w14:textId="77777777" w:rsidTr="009E473C">
        <w:trPr>
          <w:trHeight w:val="283"/>
          <w:jc w:val="right"/>
        </w:trPr>
        <w:tc>
          <w:tcPr>
            <w:tcW w:w="4727" w:type="dxa"/>
          </w:tcPr>
          <w:p w14:paraId="376350C9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3E3BA3" w:rsidRPr="00154B25" w14:paraId="07F1D9F2" w14:textId="77777777" w:rsidTr="009E473C">
        <w:trPr>
          <w:trHeight w:val="283"/>
          <w:jc w:val="right"/>
        </w:trPr>
        <w:tc>
          <w:tcPr>
            <w:tcW w:w="4727" w:type="dxa"/>
          </w:tcPr>
          <w:p w14:paraId="57C3A731" w14:textId="77777777" w:rsidR="003E3BA3" w:rsidRPr="00154B25" w:rsidRDefault="003E3BA3" w:rsidP="009E473C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</w:tbl>
    <w:p w14:paraId="6442D5E7" w14:textId="77777777" w:rsidR="00E95E42" w:rsidRDefault="00E95E42"/>
    <w:sectPr w:rsidR="00E95E42" w:rsidSect="003E3BA3">
      <w:headerReference w:type="first" r:id="rId8"/>
      <w:pgSz w:w="12240" w:h="15840"/>
      <w:pgMar w:top="1008" w:right="1440" w:bottom="1008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5585C" w14:textId="77777777" w:rsidR="00B62B37" w:rsidRDefault="00B62B37" w:rsidP="003E3BA3">
      <w:pPr>
        <w:spacing w:after="0" w:line="240" w:lineRule="auto"/>
      </w:pPr>
      <w:r>
        <w:separator/>
      </w:r>
    </w:p>
  </w:endnote>
  <w:endnote w:type="continuationSeparator" w:id="0">
    <w:p w14:paraId="42ACA341" w14:textId="77777777" w:rsidR="00B62B37" w:rsidRDefault="00B62B37" w:rsidP="003E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BA546" w14:textId="77777777" w:rsidR="00B62B37" w:rsidRDefault="00B62B37" w:rsidP="003E3BA3">
      <w:pPr>
        <w:spacing w:after="0" w:line="240" w:lineRule="auto"/>
      </w:pPr>
      <w:r>
        <w:separator/>
      </w:r>
    </w:p>
  </w:footnote>
  <w:footnote w:type="continuationSeparator" w:id="0">
    <w:p w14:paraId="6E02DC94" w14:textId="77777777" w:rsidR="00B62B37" w:rsidRDefault="00B62B37" w:rsidP="003E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4349"/>
      <w:gridCol w:w="5070"/>
    </w:tblGrid>
    <w:tr w:rsidR="003E3BA3" w14:paraId="4005EDBA" w14:textId="77777777" w:rsidTr="003E3BA3">
      <w:trPr>
        <w:trHeight w:val="1975"/>
      </w:trPr>
      <w:tc>
        <w:tcPr>
          <w:tcW w:w="2552" w:type="dxa"/>
          <w:hideMark/>
        </w:tcPr>
        <w:p w14:paraId="2DE533A2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  <w:lang w:val="sr-Cyrl-RS"/>
            </w:rPr>
          </w:pPr>
          <w:r>
            <w:rPr>
              <w:noProof/>
              <w:color w:val="000000"/>
            </w:rPr>
            <w:drawing>
              <wp:inline distT="0" distB="0" distL="0" distR="0" wp14:anchorId="7E4AE3E7" wp14:editId="1A16095C">
                <wp:extent cx="1485900" cy="962025"/>
                <wp:effectExtent l="0" t="0" r="0" b="952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9" w:type="dxa"/>
          <w:gridSpan w:val="2"/>
        </w:tcPr>
        <w:p w14:paraId="4CFAA119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  <w:lang w:val="sr-Cyrl-RS"/>
            </w:rPr>
          </w:pPr>
        </w:p>
        <w:p w14:paraId="46030E5A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  <w:lang w:val="sr-Cyrl-RS"/>
            </w:rPr>
          </w:pPr>
        </w:p>
        <w:p w14:paraId="7E4A7D77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0ABC3838" w14:textId="77777777" w:rsidR="003E3BA3" w:rsidRDefault="003E3BA3" w:rsidP="003E3BA3">
          <w:pPr>
            <w:tabs>
              <w:tab w:val="right" w:pos="9203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  <w:r>
            <w:rPr>
              <w:color w:val="000000"/>
              <w:sz w:val="18"/>
              <w:szCs w:val="20"/>
              <w:lang w:val="ru-RU"/>
            </w:rPr>
            <w:tab/>
          </w:r>
        </w:p>
        <w:p w14:paraId="71C564BA" w14:textId="77777777" w:rsidR="003E3BA3" w:rsidRDefault="003E3BA3" w:rsidP="003E3BA3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>
            <w:rPr>
              <w:b/>
              <w:color w:val="000000"/>
              <w:sz w:val="28"/>
              <w:szCs w:val="20"/>
              <w:lang w:val="ru-RU"/>
            </w:rPr>
            <w:t>Покрајински секретаријат за</w:t>
          </w:r>
        </w:p>
        <w:p w14:paraId="3CB6301A" w14:textId="77777777" w:rsidR="003E3BA3" w:rsidRDefault="003E3BA3" w:rsidP="003E3BA3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34602B17" w14:textId="77777777" w:rsidR="003E3BA3" w:rsidRDefault="003E3BA3" w:rsidP="003E3BA3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14:paraId="6861DC6E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0D526851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2D78A4AC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08522BA3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457 447</w:t>
          </w:r>
        </w:p>
        <w:p w14:paraId="5360B4D3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>
            <w:rPr>
              <w:sz w:val="16"/>
              <w:szCs w:val="16"/>
              <w:lang w:val="sr-Latn-CS"/>
            </w:rPr>
            <w:t>region@vojvodina.gov.rs</w:t>
          </w:r>
          <w:r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3E3BA3" w14:paraId="54158295" w14:textId="77777777" w:rsidTr="003E3BA3">
      <w:trPr>
        <w:trHeight w:val="305"/>
      </w:trPr>
      <w:tc>
        <w:tcPr>
          <w:tcW w:w="2552" w:type="dxa"/>
        </w:tcPr>
        <w:p w14:paraId="3E7DC1B3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4349" w:type="dxa"/>
          <w:hideMark/>
        </w:tcPr>
        <w:p w14:paraId="797CD4A7" w14:textId="77777777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18"/>
              <w:lang w:val="sr-Cyrl-RS"/>
            </w:rPr>
          </w:pPr>
          <w:r>
            <w:rPr>
              <w:color w:val="000000"/>
              <w:sz w:val="18"/>
              <w:szCs w:val="18"/>
              <w:lang w:val="sr-Cyrl-RS"/>
            </w:rPr>
            <w:t xml:space="preserve">БРОЈ: </w:t>
          </w:r>
          <w:r>
            <w:rPr>
              <w:sz w:val="18"/>
              <w:szCs w:val="18"/>
              <w:lang w:val="sr-Cyrl-RS"/>
            </w:rPr>
            <w:t>003760086 2025 80254 001 002 000 001 04 003</w:t>
          </w:r>
        </w:p>
      </w:tc>
      <w:tc>
        <w:tcPr>
          <w:tcW w:w="5070" w:type="dxa"/>
          <w:hideMark/>
        </w:tcPr>
        <w:p w14:paraId="44F708B3" w14:textId="60FF1170" w:rsidR="003E3BA3" w:rsidRDefault="003E3BA3" w:rsidP="003E3BA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18"/>
              <w:lang w:val="sr-Cyrl-RS"/>
            </w:rPr>
          </w:pPr>
          <w:r>
            <w:rPr>
              <w:color w:val="000000"/>
              <w:sz w:val="18"/>
              <w:szCs w:val="18"/>
              <w:lang w:val="sr-Cyrl-RS"/>
            </w:rPr>
            <w:t>ДАТУМ: 1</w:t>
          </w:r>
          <w:r w:rsidR="00111381">
            <w:rPr>
              <w:color w:val="000000"/>
              <w:sz w:val="18"/>
              <w:szCs w:val="18"/>
              <w:lang w:val="sr-Cyrl-RS"/>
            </w:rPr>
            <w:t>2</w:t>
          </w:r>
          <w:r>
            <w:rPr>
              <w:color w:val="000000"/>
              <w:sz w:val="18"/>
              <w:szCs w:val="18"/>
              <w:lang w:val="sr-Cyrl-RS"/>
            </w:rPr>
            <w:t>.09.2025.године</w:t>
          </w:r>
        </w:p>
      </w:tc>
    </w:tr>
  </w:tbl>
  <w:p w14:paraId="583F79E0" w14:textId="77777777" w:rsidR="003E3BA3" w:rsidRDefault="003E3B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486"/>
    <w:multiLevelType w:val="hybridMultilevel"/>
    <w:tmpl w:val="5EC2AF30"/>
    <w:lvl w:ilvl="0" w:tplc="7B18C70A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3A92"/>
    <w:multiLevelType w:val="hybridMultilevel"/>
    <w:tmpl w:val="6C72D8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A3"/>
    <w:rsid w:val="00111381"/>
    <w:rsid w:val="00174CE0"/>
    <w:rsid w:val="0026048B"/>
    <w:rsid w:val="003E3BA3"/>
    <w:rsid w:val="003E5675"/>
    <w:rsid w:val="00487D62"/>
    <w:rsid w:val="004C17C7"/>
    <w:rsid w:val="0059046D"/>
    <w:rsid w:val="00635441"/>
    <w:rsid w:val="00691575"/>
    <w:rsid w:val="00740C81"/>
    <w:rsid w:val="008E3712"/>
    <w:rsid w:val="00934F12"/>
    <w:rsid w:val="00AF6906"/>
    <w:rsid w:val="00B62B37"/>
    <w:rsid w:val="00C15C8E"/>
    <w:rsid w:val="00E95E42"/>
    <w:rsid w:val="00EE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AD41F"/>
  <w15:chartTrackingRefBased/>
  <w15:docId w15:val="{F211EB1D-2F9B-4081-BF95-EF737616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B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BA3"/>
  </w:style>
  <w:style w:type="paragraph" w:styleId="Footer">
    <w:name w:val="footer"/>
    <w:basedOn w:val="Normal"/>
    <w:link w:val="FooterChar"/>
    <w:uiPriority w:val="99"/>
    <w:unhideWhenUsed/>
    <w:rsid w:val="003E3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BA3"/>
  </w:style>
  <w:style w:type="paragraph" w:styleId="ListParagraph">
    <w:name w:val="List Paragraph"/>
    <w:basedOn w:val="Normal"/>
    <w:uiPriority w:val="34"/>
    <w:qFormat/>
    <w:rsid w:val="003E3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BCD7-27C2-4F30-80E9-C744CB2F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Lolic</dc:creator>
  <cp:keywords/>
  <dc:description/>
  <cp:lastModifiedBy>Ivana Lolic</cp:lastModifiedBy>
  <cp:revision>7</cp:revision>
  <dcterms:created xsi:type="dcterms:W3CDTF">2025-09-10T13:50:00Z</dcterms:created>
  <dcterms:modified xsi:type="dcterms:W3CDTF">2025-09-11T12:29:00Z</dcterms:modified>
</cp:coreProperties>
</file>